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54AD4F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96773">
        <w:rPr>
          <w:rFonts w:asciiTheme="majorHAnsi" w:eastAsia="Times New Roman" w:hAnsiTheme="majorHAnsi" w:cs="Times New Roman"/>
          <w:lang w:eastAsia="cs-CZ"/>
        </w:rPr>
        <w:t>3</w:t>
      </w:r>
      <w:r w:rsidR="00696773"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43A56126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696773">
        <w:rPr>
          <w:rFonts w:eastAsia="Times New Roman" w:cs="Times New Roman"/>
          <w:lang w:eastAsia="cs-CZ"/>
        </w:rPr>
        <w:t xml:space="preserve">zastoupená </w:t>
      </w:r>
      <w:r w:rsidR="00696773" w:rsidRPr="00696773">
        <w:rPr>
          <w:rFonts w:eastAsia="Times New Roman" w:cs="Times New Roman"/>
          <w:lang w:eastAsia="cs-CZ"/>
        </w:rPr>
        <w:t>Bc</w:t>
      </w:r>
      <w:r w:rsidR="00696773" w:rsidRPr="00172DD8">
        <w:rPr>
          <w:rFonts w:eastAsia="Times New Roman" w:cs="Times New Roman"/>
          <w:lang w:eastAsia="cs-CZ"/>
        </w:rPr>
        <w:t>.</w:t>
      </w:r>
      <w:r w:rsidR="00696773">
        <w:rPr>
          <w:rFonts w:eastAsia="Times New Roman" w:cs="Times New Roman"/>
          <w:lang w:eastAsia="cs-CZ"/>
        </w:rPr>
        <w:t xml:space="preserve"> Jiřím Svobodou, generálním ředitelem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CF1D4F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696773" w:rsidRPr="00696773">
        <w:rPr>
          <w:rFonts w:eastAsia="Times New Roman" w:cs="Times New Roman"/>
          <w:lang w:eastAsia="cs-CZ"/>
        </w:rPr>
        <w:t>Tisk kalendářů a diářů pro Správu železnic 2024</w:t>
      </w:r>
      <w:r w:rsidRPr="00572A73">
        <w:rPr>
          <w:rFonts w:eastAsia="Times New Roman" w:cs="Times New Roman"/>
          <w:lang w:eastAsia="cs-CZ"/>
        </w:rPr>
        <w:t xml:space="preserve">“, </w:t>
      </w:r>
      <w:r w:rsidR="000D278B" w:rsidRPr="00572A73">
        <w:rPr>
          <w:rFonts w:eastAsia="Times New Roman" w:cs="Times New Roman"/>
          <w:lang w:eastAsia="cs-CZ"/>
        </w:rPr>
        <w:t xml:space="preserve"> č.j. veřejné zakázky </w:t>
      </w:r>
      <w:r w:rsidR="00572A73" w:rsidRPr="00572A73">
        <w:rPr>
          <w:rFonts w:eastAsia="Times New Roman" w:cs="Times New Roman"/>
          <w:lang w:eastAsia="cs-CZ"/>
        </w:rPr>
        <w:t>35235/</w:t>
      </w:r>
      <w:r w:rsidR="00572A73">
        <w:rPr>
          <w:rFonts w:eastAsia="Times New Roman" w:cs="Times New Roman"/>
          <w:lang w:eastAsia="cs-CZ"/>
        </w:rPr>
        <w:t>2023-SŽ-GŘ-O8</w:t>
      </w:r>
      <w:r w:rsidR="00572A7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611998A" w14:textId="728B55BA" w:rsidR="00696773" w:rsidRPr="00696773" w:rsidRDefault="00696773" w:rsidP="00696773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textAlignment w:val="baseline"/>
        <w:rPr>
          <w:rFonts w:eastAsia="Times New Roman" w:cs="Times New Roman"/>
          <w:lang w:eastAsia="cs-CZ"/>
        </w:rPr>
      </w:pPr>
      <w:r>
        <w:t xml:space="preserve">2.1 </w:t>
      </w:r>
      <w:r w:rsidR="004E1498" w:rsidRPr="004E1498">
        <w:t xml:space="preserve">Předmětem díla je </w:t>
      </w:r>
      <w:r w:rsidRPr="00696773">
        <w:rPr>
          <w:rFonts w:eastAsia="Times New Roman" w:cs="Times New Roman"/>
          <w:lang w:eastAsia="cs-CZ"/>
        </w:rPr>
        <w:t xml:space="preserve">grafické zpracování, předtisková příprava a následná výroba kalendářů, diářů a bloků pro rok 2024.                                                    </w:t>
      </w:r>
    </w:p>
    <w:p w14:paraId="5C3C0A63" w14:textId="77777777" w:rsidR="00696773" w:rsidRPr="00696773" w:rsidRDefault="00696773" w:rsidP="00696773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 w:rsidRPr="00696773">
        <w:rPr>
          <w:rFonts w:eastAsia="Times New Roman" w:cs="Times New Roman"/>
          <w:lang w:eastAsia="cs-CZ"/>
        </w:rPr>
        <w:t xml:space="preserve"> </w:t>
      </w:r>
      <w:r w:rsidRPr="00696773">
        <w:rPr>
          <w:rFonts w:eastAsia="Times New Roman" w:cs="Times New Roman"/>
          <w:lang w:eastAsia="cs-CZ"/>
        </w:rPr>
        <w:tab/>
        <w:t>Jedná se o:</w:t>
      </w:r>
      <w:r w:rsidRPr="00696773">
        <w:rPr>
          <w:rFonts w:eastAsia="Times New Roman" w:cs="Times New Roman"/>
          <w:lang w:eastAsia="cs-CZ"/>
        </w:rPr>
        <w:tab/>
        <w:t>- stolní kalendář</w:t>
      </w:r>
    </w:p>
    <w:p w14:paraId="06676E35" w14:textId="77777777" w:rsidR="00696773" w:rsidRPr="00696773" w:rsidRDefault="00696773" w:rsidP="00696773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contextualSpacing/>
        <w:textAlignment w:val="baseline"/>
        <w:rPr>
          <w:rFonts w:eastAsia="Times New Roman" w:cs="Times New Roman"/>
          <w:lang w:eastAsia="cs-CZ"/>
        </w:rPr>
      </w:pPr>
      <w:r w:rsidRPr="00696773">
        <w:rPr>
          <w:rFonts w:eastAsia="Times New Roman" w:cs="Times New Roman"/>
          <w:lang w:eastAsia="cs-CZ"/>
        </w:rPr>
        <w:t>– tříměsíční kalendář plánovací</w:t>
      </w:r>
    </w:p>
    <w:p w14:paraId="48FB8C7E" w14:textId="77777777" w:rsidR="00696773" w:rsidRPr="00696773" w:rsidRDefault="00696773" w:rsidP="00696773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contextualSpacing/>
        <w:textAlignment w:val="baseline"/>
        <w:rPr>
          <w:rFonts w:eastAsia="Times New Roman" w:cs="Times New Roman"/>
          <w:lang w:eastAsia="cs-CZ"/>
        </w:rPr>
      </w:pPr>
      <w:r w:rsidRPr="00696773">
        <w:rPr>
          <w:rFonts w:eastAsia="Times New Roman" w:cs="Times New Roman"/>
          <w:lang w:eastAsia="cs-CZ"/>
        </w:rPr>
        <w:t>– nástěnné kalendáře</w:t>
      </w:r>
    </w:p>
    <w:p w14:paraId="7549A22D" w14:textId="77777777" w:rsidR="00696773" w:rsidRPr="00696773" w:rsidRDefault="00696773" w:rsidP="00696773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contextualSpacing/>
        <w:textAlignment w:val="baseline"/>
        <w:rPr>
          <w:rFonts w:eastAsia="Times New Roman" w:cs="Times New Roman"/>
          <w:lang w:eastAsia="cs-CZ"/>
        </w:rPr>
      </w:pPr>
      <w:r w:rsidRPr="00696773">
        <w:rPr>
          <w:rFonts w:eastAsia="Times New Roman" w:cs="Times New Roman"/>
          <w:lang w:eastAsia="cs-CZ"/>
        </w:rPr>
        <w:t>– diář týdenní</w:t>
      </w:r>
    </w:p>
    <w:p w14:paraId="03F039C6" w14:textId="46695043" w:rsidR="004E1498" w:rsidRPr="00696773" w:rsidRDefault="00696773" w:rsidP="00696773">
      <w:pPr>
        <w:pStyle w:val="Nadpis2"/>
        <w:numPr>
          <w:ilvl w:val="0"/>
          <w:numId w:val="0"/>
        </w:numPr>
        <w:ind w:left="1416" w:firstLine="708"/>
        <w:jc w:val="left"/>
      </w:pPr>
      <w:r w:rsidRPr="00696773">
        <w:t>– kroužkový blok</w:t>
      </w:r>
      <w:r w:rsidR="0086114C" w:rsidRPr="00696773">
        <w:t>.</w:t>
      </w:r>
    </w:p>
    <w:p w14:paraId="31E5226B" w14:textId="1127BAF8" w:rsidR="004E1498" w:rsidRPr="00696773" w:rsidRDefault="00696773" w:rsidP="00696773">
      <w:pPr>
        <w:pStyle w:val="Nadpis2"/>
        <w:numPr>
          <w:ilvl w:val="0"/>
          <w:numId w:val="0"/>
        </w:numPr>
        <w:jc w:val="left"/>
      </w:pPr>
      <w:r w:rsidRPr="00696773">
        <w:t xml:space="preserve">2.2  </w:t>
      </w:r>
      <w:r w:rsidR="004E1498" w:rsidRPr="00696773">
        <w:t>Předmět díla je blíže specifikován v přílo</w:t>
      </w:r>
      <w:r w:rsidR="00CB53B1" w:rsidRPr="00696773">
        <w:t>ze</w:t>
      </w:r>
      <w:r w:rsidR="004E1498" w:rsidRPr="00696773">
        <w:t xml:space="preserve"> </w:t>
      </w:r>
      <w:r w:rsidR="0086114C" w:rsidRPr="00696773">
        <w:t>č</w:t>
      </w:r>
      <w:r w:rsidRPr="00696773">
        <w:t>. 1a)</w:t>
      </w:r>
      <w:r w:rsidR="006566F7" w:rsidRPr="00696773">
        <w:t>S</w:t>
      </w:r>
      <w:r w:rsidR="004E1498" w:rsidRPr="00696773">
        <w:t>mlouvy.</w:t>
      </w:r>
    </w:p>
    <w:p w14:paraId="4B3B2865" w14:textId="24E9F9A4" w:rsidR="00696773" w:rsidRPr="00696773" w:rsidRDefault="00696773" w:rsidP="00696773">
      <w:pPr>
        <w:spacing w:after="100" w:afterAutospacing="1"/>
        <w:rPr>
          <w:lang w:eastAsia="cs-CZ"/>
        </w:rPr>
      </w:pPr>
      <w:r w:rsidRPr="00696773">
        <w:rPr>
          <w:lang w:eastAsia="cs-CZ"/>
        </w:rPr>
        <w:t>2.3  Seznam distribučních míst je uveden v příloze č. 1b) Smlouvy.</w:t>
      </w:r>
    </w:p>
    <w:p w14:paraId="3E663345" w14:textId="28F20C0D" w:rsidR="004E1498" w:rsidRPr="00696773" w:rsidRDefault="00696773" w:rsidP="00696773">
      <w:pPr>
        <w:pStyle w:val="Nadpis2"/>
        <w:numPr>
          <w:ilvl w:val="0"/>
          <w:numId w:val="0"/>
        </w:numPr>
        <w:ind w:left="425" w:hanging="425"/>
        <w:jc w:val="left"/>
      </w:pPr>
      <w:r w:rsidRPr="00696773">
        <w:t xml:space="preserve">2.4  </w:t>
      </w:r>
      <w:r w:rsidR="004E1498" w:rsidRPr="00696773">
        <w:t>Předmět díla musí být proveden v </w:t>
      </w:r>
      <w:r w:rsidR="00BF7201" w:rsidRPr="00696773" w:rsidDel="00BF7201">
        <w:t xml:space="preserve"> </w:t>
      </w:r>
      <w:r w:rsidR="004E1498" w:rsidRPr="00696773">
        <w:t xml:space="preserve">souladu s právními předpisy, normami ČSN, technickými normami, </w:t>
      </w:r>
      <w:r w:rsidR="006566F7" w:rsidRPr="00696773">
        <w:t>uvedenými v příloze č. 3 S</w:t>
      </w:r>
      <w:r w:rsidR="004E1498" w:rsidRPr="00696773">
        <w:t>mlouvy.</w:t>
      </w:r>
    </w:p>
    <w:p w14:paraId="620E778C" w14:textId="4E002B6C" w:rsidR="004E1498" w:rsidRPr="00696773" w:rsidRDefault="00696773" w:rsidP="00696773">
      <w:pPr>
        <w:pStyle w:val="Nadpis2"/>
        <w:numPr>
          <w:ilvl w:val="0"/>
          <w:numId w:val="0"/>
        </w:numPr>
        <w:jc w:val="left"/>
      </w:pPr>
      <w:r w:rsidRPr="00696773">
        <w:t>2.</w:t>
      </w:r>
      <w:r w:rsidR="00BF7201">
        <w:t>5</w:t>
      </w:r>
      <w:r w:rsidRPr="00696773">
        <w:t xml:space="preserve">  </w:t>
      </w:r>
      <w:r w:rsidR="004E1498" w:rsidRPr="00696773">
        <w:t xml:space="preserve">Jakost </w:t>
      </w:r>
      <w:r w:rsidR="00572A73">
        <w:t>a</w:t>
      </w:r>
      <w:r w:rsidR="00572A73" w:rsidRPr="00696773">
        <w:t xml:space="preserve"> </w:t>
      </w:r>
      <w:r w:rsidR="004E1498" w:rsidRPr="00696773">
        <w:t xml:space="preserve">provedení Předmětu díla </w:t>
      </w:r>
      <w:r w:rsidR="00572A73">
        <w:t>je</w:t>
      </w:r>
      <w:r w:rsidR="00572A73" w:rsidRPr="00696773">
        <w:t xml:space="preserve"> </w:t>
      </w:r>
      <w:r w:rsidR="004E1498" w:rsidRPr="00696773">
        <w:t>určeno vzorkem</w:t>
      </w:r>
      <w:r w:rsidR="00572A73">
        <w:t xml:space="preserve"> (Imprint</w:t>
      </w:r>
      <w:r w:rsidR="00364B56">
        <w:t>)</w:t>
      </w:r>
      <w:r w:rsidR="00572A73">
        <w:t xml:space="preserve"> každé položky</w:t>
      </w:r>
      <w:r w:rsidR="004E1498" w:rsidRPr="00696773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77777777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49EC1791" w:rsidR="00810E9B" w:rsidRPr="00364B56" w:rsidRDefault="00810E9B" w:rsidP="00275474">
      <w:pPr>
        <w:pStyle w:val="Nadpis2"/>
        <w:jc w:val="left"/>
      </w:pPr>
      <w:r w:rsidRPr="00364B56">
        <w:t>Zhotovitelem oceněný položkový rozp</w:t>
      </w:r>
      <w:r w:rsidR="006566F7" w:rsidRPr="00364B56">
        <w:t>očet Díla je přílohou č.</w:t>
      </w:r>
      <w:r w:rsidR="00BF7201" w:rsidRPr="00364B56">
        <w:t xml:space="preserve"> </w:t>
      </w:r>
      <w:r w:rsidR="00F41801" w:rsidRPr="00364B56">
        <w:t>2</w:t>
      </w:r>
      <w:r w:rsidR="006566F7" w:rsidRPr="00364B56">
        <w:t xml:space="preserve"> </w:t>
      </w:r>
      <w:r w:rsidRPr="00364B56">
        <w:t>Smlouvy.</w:t>
      </w:r>
    </w:p>
    <w:p w14:paraId="28C81697" w14:textId="2F702A04" w:rsidR="00810E9B" w:rsidRPr="00364B56" w:rsidRDefault="00810E9B" w:rsidP="00275474">
      <w:pPr>
        <w:pStyle w:val="Nadpis2"/>
        <w:jc w:val="left"/>
      </w:pPr>
      <w:r w:rsidRPr="00364B56">
        <w:t xml:space="preserve">Fakturace bude provedena </w:t>
      </w:r>
      <w:r w:rsidR="00556576" w:rsidRPr="00364B56">
        <w:t xml:space="preserve">jednorázově, </w:t>
      </w:r>
      <w:r w:rsidR="00CB53B1" w:rsidRPr="00364B56">
        <w:t>na základě předávacího</w:t>
      </w:r>
      <w:r w:rsidR="00556576" w:rsidRPr="00364B56">
        <w:t xml:space="preserve"> </w:t>
      </w:r>
      <w:r w:rsidR="00CB53B1" w:rsidRPr="00364B56">
        <w:t xml:space="preserve">protokolu podepsaného </w:t>
      </w:r>
      <w:r w:rsidR="006566F7" w:rsidRPr="00364B56">
        <w:t>oběma S</w:t>
      </w:r>
      <w:r w:rsidR="00FA32F8" w:rsidRPr="00364B56">
        <w:t>mluvními stranami</w:t>
      </w:r>
      <w:r w:rsidR="00556576" w:rsidRPr="00364B56">
        <w:t xml:space="preserve">. </w:t>
      </w:r>
      <w:r w:rsidR="00556576" w:rsidRPr="00364B56" w:rsidDel="00556576">
        <w:t xml:space="preserve"> </w:t>
      </w:r>
    </w:p>
    <w:p w14:paraId="1F177553" w14:textId="496835D4" w:rsidR="00810E9B" w:rsidRDefault="00810E9B" w:rsidP="00275474">
      <w:pPr>
        <w:pStyle w:val="Nadpis2"/>
        <w:jc w:val="left"/>
      </w:pPr>
      <w:r w:rsidRPr="00364B56">
        <w:t>Cenová kalk</w:t>
      </w:r>
      <w:r w:rsidR="006566F7" w:rsidRPr="00364B56">
        <w:t>ulace Díla je přílohou č.</w:t>
      </w:r>
      <w:r w:rsidR="00BF7201" w:rsidRPr="00364B56">
        <w:t xml:space="preserve"> 2 </w:t>
      </w:r>
      <w:r w:rsidR="006566F7" w:rsidRPr="00364B56">
        <w:t xml:space="preserve">Smlouvy. </w:t>
      </w:r>
    </w:p>
    <w:p w14:paraId="3DE5D30B" w14:textId="77777777" w:rsidR="00364B56" w:rsidRPr="00364B56" w:rsidRDefault="00364B56" w:rsidP="00364B56">
      <w:pPr>
        <w:rPr>
          <w:lang w:eastAsia="cs-CZ"/>
        </w:rPr>
      </w:pPr>
    </w:p>
    <w:p w14:paraId="1AFBED57" w14:textId="77777777" w:rsidR="004E1498" w:rsidRPr="00364B56" w:rsidRDefault="004E1498" w:rsidP="00592757">
      <w:pPr>
        <w:pStyle w:val="Nadpis1"/>
        <w:rPr>
          <w:rFonts w:eastAsia="Times New Roman"/>
          <w:lang w:eastAsia="cs-CZ"/>
        </w:rPr>
      </w:pPr>
      <w:r w:rsidRPr="00364B56">
        <w:rPr>
          <w:rFonts w:eastAsia="Times New Roman"/>
          <w:lang w:eastAsia="cs-CZ"/>
        </w:rPr>
        <w:t>Místo a doba plnění</w:t>
      </w:r>
    </w:p>
    <w:p w14:paraId="4DCCF507" w14:textId="51C65E91" w:rsidR="004E1498" w:rsidRPr="00F41801" w:rsidRDefault="004E1498" w:rsidP="00592757">
      <w:pPr>
        <w:pStyle w:val="Nadpis2"/>
        <w:jc w:val="left"/>
      </w:pPr>
      <w:r w:rsidRPr="00F41801">
        <w:t>Místem plnění je</w:t>
      </w:r>
      <w:r w:rsidR="00A20C24" w:rsidRPr="00F41801">
        <w:t xml:space="preserve"> celé území České Republiky a jednotlivé organizační složky Správy železnic, státní organizace, blíže je specifikováno v příloze č. 1b) smlouvy o dílo.</w:t>
      </w:r>
    </w:p>
    <w:p w14:paraId="624D8729" w14:textId="767F1DBF" w:rsidR="005740C3" w:rsidRDefault="004E1498" w:rsidP="005740C3">
      <w:pPr>
        <w:pStyle w:val="Nadpis2"/>
        <w:jc w:val="left"/>
      </w:pPr>
      <w:r w:rsidRPr="00F41801">
        <w:t>Z</w:t>
      </w:r>
      <w:r w:rsidR="005740C3" w:rsidRPr="00F41801">
        <w:t xml:space="preserve">hotovitel je povinen provést a předat </w:t>
      </w:r>
      <w:r w:rsidRPr="00F41801">
        <w:t xml:space="preserve">Dílo nejpozději do </w:t>
      </w:r>
      <w:r w:rsidR="00A20C24" w:rsidRPr="00F41801">
        <w:t>31. 10. 2023.</w:t>
      </w:r>
    </w:p>
    <w:p w14:paraId="05A51F74" w14:textId="77777777" w:rsidR="00364B56" w:rsidRPr="00364B56" w:rsidRDefault="00364B56" w:rsidP="00364B56">
      <w:pPr>
        <w:rPr>
          <w:lang w:eastAsia="cs-CZ"/>
        </w:rPr>
      </w:pPr>
    </w:p>
    <w:p w14:paraId="38280017" w14:textId="4092B6E3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1B97110E" w:rsidR="004E1498" w:rsidRDefault="004E1498" w:rsidP="006C7697">
      <w:pPr>
        <w:pStyle w:val="Nadpis2"/>
        <w:jc w:val="left"/>
      </w:pPr>
      <w:r w:rsidRPr="004E1498">
        <w:t xml:space="preserve">Záruční doba </w:t>
      </w:r>
      <w:r w:rsidRPr="00A20C24">
        <w:t xml:space="preserve">činí </w:t>
      </w:r>
      <w:r w:rsidR="00816B59" w:rsidRPr="00A20C24">
        <w:t>24 měsíců</w:t>
      </w:r>
      <w:r w:rsidRPr="00A20C24">
        <w:t>.</w:t>
      </w:r>
    </w:p>
    <w:p w14:paraId="0D76143D" w14:textId="77777777" w:rsidR="00364B56" w:rsidRPr="00364B56" w:rsidRDefault="00364B56" w:rsidP="00364B56">
      <w:pPr>
        <w:rPr>
          <w:lang w:eastAsia="cs-CZ"/>
        </w:rPr>
      </w:pP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56C0A772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7719EC">
        <w:t>příloze č</w:t>
      </w:r>
      <w:r w:rsidR="00A20C24" w:rsidRPr="007719EC">
        <w:t xml:space="preserve">. 4 </w:t>
      </w:r>
      <w:r w:rsidR="006566F7" w:rsidRPr="007719EC">
        <w:t>této</w:t>
      </w:r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0A91449C" w:rsidR="00FD17C6" w:rsidRPr="00BF7201" w:rsidRDefault="00FD17C6" w:rsidP="00275474">
      <w:pPr>
        <w:pStyle w:val="Nadpis2"/>
        <w:jc w:val="left"/>
      </w:pPr>
      <w:r w:rsidRPr="00BF7201">
        <w:t>Na provedení Díla se budou podílet č</w:t>
      </w:r>
      <w:r w:rsidR="00816B59" w:rsidRPr="00BF7201">
        <w:t>lenové realizačního týmu uvedení</w:t>
      </w:r>
      <w:r w:rsidR="006566F7" w:rsidRPr="00BF7201">
        <w:t xml:space="preserve"> v příloze č</w:t>
      </w:r>
      <w:r w:rsidR="00A20C24" w:rsidRPr="00BF7201">
        <w:t xml:space="preserve">. 5 </w:t>
      </w:r>
      <w:r w:rsidR="006566F7" w:rsidRPr="00BF7201">
        <w:t>této S</w:t>
      </w:r>
      <w:r w:rsidRPr="00BF7201">
        <w:t>mlouvy.</w:t>
      </w:r>
    </w:p>
    <w:p w14:paraId="5BBC90E2" w14:textId="68268EEA" w:rsidR="00FD17C6" w:rsidRPr="00BF7201" w:rsidRDefault="00FD17C6" w:rsidP="00275474">
      <w:pPr>
        <w:pStyle w:val="Nadpis2"/>
        <w:jc w:val="left"/>
      </w:pPr>
      <w:r w:rsidRPr="00BF7201">
        <w:t>Zhotovitel může v průběhu plnění Předmětu díla nahradit některé osoby z osob, uvedených v seznamu realizačního týmu dle přílohy č</w:t>
      </w:r>
      <w:r w:rsidR="00A20C24" w:rsidRPr="00BF7201">
        <w:t xml:space="preserve">. 5 </w:t>
      </w:r>
      <w:r w:rsidRPr="00BF7201">
        <w:t xml:space="preserve">této </w:t>
      </w:r>
      <w:r w:rsidR="00A605AE" w:rsidRPr="00BF7201">
        <w:t>S</w:t>
      </w:r>
      <w:r w:rsidRPr="00BF7201">
        <w:t>mlouvy, pouze po předchozím souhlasu Objednatele na základě písemné žádosti Zhotovitele. V případě, že Zhotovitel požádá o změnu některých členů realizačního týmu uvedeného v příloze č</w:t>
      </w:r>
      <w:r w:rsidR="00A20C24" w:rsidRPr="00BF7201">
        <w:t xml:space="preserve">. 5 </w:t>
      </w:r>
      <w:r w:rsidRPr="00BF7201">
        <w:t xml:space="preserve">této Smlouvy, musí tato osoba, splňovat kvalifikaci požadovanou </w:t>
      </w:r>
      <w:r w:rsidR="00380260" w:rsidRPr="00BF7201">
        <w:t>ve Veřejné zakázce</w:t>
      </w:r>
      <w:r w:rsidRPr="00BF7201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16930475" w:rsidR="004429CF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211EC8DC" w14:textId="77777777" w:rsidR="00364B56" w:rsidRPr="00364B56" w:rsidRDefault="00364B56" w:rsidP="00364B56">
      <w:pPr>
        <w:rPr>
          <w:lang w:eastAsia="cs-CZ"/>
        </w:rPr>
      </w:pP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418DD4F" w:rsidR="00AB3FA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</w:t>
      </w:r>
      <w:r w:rsidRPr="00572A73">
        <w:t xml:space="preserve">svou oznamovací povinnost dle odstavce </w:t>
      </w:r>
      <w:r w:rsidR="004B2D5D" w:rsidRPr="00572A73">
        <w:t>8</w:t>
      </w:r>
      <w:r w:rsidRPr="00572A73">
        <w:t xml:space="preserve">.4. nebo povinnosti dle odstavců </w:t>
      </w:r>
      <w:r w:rsidR="00E21248" w:rsidRPr="00572A73">
        <w:t>8</w:t>
      </w:r>
      <w:r w:rsidRPr="00572A73">
        <w:t xml:space="preserve">.5 nebo </w:t>
      </w:r>
      <w:r w:rsidR="00E21248" w:rsidRPr="00572A73">
        <w:t>8</w:t>
      </w:r>
      <w:r w:rsidRPr="00572A73">
        <w:t>.6 této Smlouvy, je Objednatel oprávněn odstoupit od této Smlouvy. Zhotovitel je dále povinen zaplatit za každé jednotlivé porušení povinností dle předchozí věty smluvní pokutu ve výši 5 % procent z</w:t>
      </w:r>
      <w:r w:rsidR="00E13382" w:rsidRPr="00572A73">
        <w:t> C</w:t>
      </w:r>
      <w:r w:rsidRPr="00572A73">
        <w:t>eny</w:t>
      </w:r>
      <w:r w:rsidR="00E13382" w:rsidRPr="00572A73">
        <w:t xml:space="preserve"> díla (C</w:t>
      </w:r>
      <w:r w:rsidRPr="00572A73">
        <w:t>ena bez DPH) sjednané dle této Smlouvy. Ustanovení § 2004 odst. 2 Občanského zákoníku a § 2050 Občanského zákoníku se nepoužijí.</w:t>
      </w:r>
    </w:p>
    <w:p w14:paraId="68EEEC20" w14:textId="77777777" w:rsidR="00364B56" w:rsidRPr="00364B56" w:rsidRDefault="00364B56" w:rsidP="00364B56">
      <w:pPr>
        <w:rPr>
          <w:lang w:eastAsia="cs-CZ"/>
        </w:rPr>
      </w:pPr>
    </w:p>
    <w:p w14:paraId="7ACA4F45" w14:textId="7FF43CDA" w:rsidR="004E1498" w:rsidRPr="00572A73" w:rsidRDefault="004E1498" w:rsidP="007C01CD">
      <w:pPr>
        <w:pStyle w:val="Nadpis1"/>
        <w:rPr>
          <w:rFonts w:eastAsia="Times New Roman"/>
          <w:lang w:eastAsia="cs-CZ"/>
        </w:rPr>
      </w:pPr>
      <w:r w:rsidRPr="00572A73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29425F" w:rsidRDefault="004E1498" w:rsidP="009C30C5">
      <w:pPr>
        <w:pStyle w:val="Nadpis2"/>
        <w:ind w:left="567" w:hanging="567"/>
        <w:jc w:val="left"/>
      </w:pPr>
      <w:r w:rsidRPr="0029425F">
        <w:rPr>
          <w:rFonts w:eastAsia="Calibri"/>
        </w:rPr>
        <w:t xml:space="preserve">Tato </w:t>
      </w:r>
      <w:r w:rsidR="00D9782E" w:rsidRPr="0029425F">
        <w:rPr>
          <w:rFonts w:eastAsia="Calibri"/>
        </w:rPr>
        <w:t>Sml</w:t>
      </w:r>
      <w:r w:rsidRPr="0029425F">
        <w:rPr>
          <w:rFonts w:eastAsia="Calibri"/>
        </w:rPr>
        <w:t xml:space="preserve">ouva nabývá platnosti okamžikem podpisu poslední ze </w:t>
      </w:r>
      <w:r w:rsidR="00D9782E" w:rsidRPr="0029425F">
        <w:rPr>
          <w:rFonts w:eastAsia="Calibri"/>
        </w:rPr>
        <w:t>Sml</w:t>
      </w:r>
      <w:r w:rsidRPr="0029425F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17B7BA2F" w:rsidR="004E1498" w:rsidRPr="00BD289C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1CFDB0FD" w:rsidR="004E1498" w:rsidRPr="0029425F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9425F">
        <w:rPr>
          <w:rFonts w:eastAsia="Times New Roman" w:cs="Times New Roman"/>
          <w:b/>
          <w:lang w:eastAsia="cs-CZ"/>
        </w:rPr>
        <w:t>Přílohy</w:t>
      </w:r>
    </w:p>
    <w:p w14:paraId="2F3D6187" w14:textId="77777777" w:rsidR="0029425F" w:rsidRDefault="0029425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1a) </w:t>
      </w:r>
      <w:r w:rsidR="006E6E61" w:rsidRPr="0029425F">
        <w:rPr>
          <w:rFonts w:eastAsia="Times New Roman" w:cs="Times New Roman"/>
          <w:lang w:eastAsia="cs-CZ"/>
        </w:rPr>
        <w:t>Bližší specifikace</w:t>
      </w:r>
    </w:p>
    <w:p w14:paraId="132EAB42" w14:textId="4996E568" w:rsidR="006E6E61" w:rsidRPr="0029425F" w:rsidRDefault="0029425F" w:rsidP="0029425F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1b) Seznam distribučních míst</w:t>
      </w:r>
    </w:p>
    <w:p w14:paraId="006CBB1A" w14:textId="1A081326" w:rsidR="006E6E61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425F">
        <w:rPr>
          <w:rFonts w:eastAsia="Times New Roman" w:cs="Times New Roman"/>
          <w:lang w:eastAsia="cs-CZ"/>
        </w:rPr>
        <w:t>O</w:t>
      </w:r>
      <w:r w:rsidR="006E6E61" w:rsidRPr="0029425F">
        <w:rPr>
          <w:rFonts w:eastAsia="Times New Roman" w:cs="Times New Roman"/>
          <w:lang w:eastAsia="cs-CZ"/>
        </w:rPr>
        <w:t>ceněný položkový rozpočet</w:t>
      </w:r>
    </w:p>
    <w:p w14:paraId="42D357AB" w14:textId="5583C9FF" w:rsidR="0029425F" w:rsidRPr="0029425F" w:rsidRDefault="0029425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077D172E" w14:textId="2187781D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115F001F" w14:textId="77777777" w:rsidR="00A20C24" w:rsidRDefault="00A20C24" w:rsidP="00A20C2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Seznam realizačního týmu – doplní Zhotovitel</w:t>
      </w:r>
    </w:p>
    <w:p w14:paraId="2C498434" w14:textId="570C9D96" w:rsidR="00A20C24" w:rsidRPr="009B4030" w:rsidRDefault="00A20C24" w:rsidP="00A20C2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Plná moc (pouze v případě zastoupení zhotovitele osobou na základě plné moci)</w:t>
      </w:r>
    </w:p>
    <w:p w14:paraId="314AFFCD" w14:textId="3E58A3C9" w:rsidR="00D657AD" w:rsidRPr="00A20C24" w:rsidRDefault="00D657AD" w:rsidP="00A20C24">
      <w:pPr>
        <w:overflowPunct w:val="0"/>
        <w:autoSpaceDE w:val="0"/>
        <w:autoSpaceDN w:val="0"/>
        <w:adjustRightInd w:val="0"/>
        <w:spacing w:after="0" w:line="240" w:lineRule="auto"/>
        <w:ind w:left="568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05E6678F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31F9EC8" w14:textId="67FC1A63" w:rsidR="00364B56" w:rsidRDefault="00364B5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D8D3BE1" w14:textId="77777777" w:rsidR="00364B56" w:rsidRDefault="00364B5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9A40BA6" w:rsidR="00613238" w:rsidRDefault="00572A73" w:rsidP="00613238">
      <w:pPr>
        <w:spacing w:after="0" w:line="276" w:lineRule="auto"/>
        <w:rPr>
          <w:rFonts w:asciiTheme="majorHAnsi" w:hAnsiTheme="majorHAnsi"/>
        </w:rPr>
      </w:pPr>
      <w:r w:rsidRPr="00572A73">
        <w:rPr>
          <w:noProof/>
        </w:rPr>
        <w:t>Bc. Jiří Svoboda, MBA</w:t>
      </w:r>
      <w:r w:rsidRPr="00572A73">
        <w:rPr>
          <w:noProof/>
        </w:rPr>
        <w:tab/>
      </w:r>
      <w:r w:rsidR="00613238" w:rsidRPr="00572A73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3AD4DD52" w:rsidR="00D9782E" w:rsidRDefault="00572A7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0375F" w14:textId="77777777" w:rsidR="0027332C" w:rsidRDefault="0027332C" w:rsidP="00962258">
      <w:pPr>
        <w:spacing w:after="0" w:line="240" w:lineRule="auto"/>
      </w:pPr>
      <w:r>
        <w:separator/>
      </w:r>
    </w:p>
  </w:endnote>
  <w:endnote w:type="continuationSeparator" w:id="0">
    <w:p w14:paraId="2C55E723" w14:textId="77777777" w:rsidR="0027332C" w:rsidRDefault="002733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68D52E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B5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4B5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19D9FA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B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4B5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990D4" w14:textId="77777777" w:rsidR="0027332C" w:rsidRDefault="0027332C" w:rsidP="00962258">
      <w:pPr>
        <w:spacing w:after="0" w:line="240" w:lineRule="auto"/>
      </w:pPr>
      <w:r>
        <w:separator/>
      </w:r>
    </w:p>
  </w:footnote>
  <w:footnote w:type="continuationSeparator" w:id="0">
    <w:p w14:paraId="26FA0796" w14:textId="77777777" w:rsidR="0027332C" w:rsidRDefault="002733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9796E8EE"/>
    <w:lvl w:ilvl="0" w:tplc="00A4ED6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A4C0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332C"/>
    <w:rsid w:val="00275474"/>
    <w:rsid w:val="00280E07"/>
    <w:rsid w:val="0029425F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64B5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04D9B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56576"/>
    <w:rsid w:val="00572A73"/>
    <w:rsid w:val="005736B7"/>
    <w:rsid w:val="005740C3"/>
    <w:rsid w:val="00575E5A"/>
    <w:rsid w:val="00592757"/>
    <w:rsid w:val="00597E84"/>
    <w:rsid w:val="005B76DD"/>
    <w:rsid w:val="005D5624"/>
    <w:rsid w:val="005D786C"/>
    <w:rsid w:val="005F1404"/>
    <w:rsid w:val="005F4536"/>
    <w:rsid w:val="0060520C"/>
    <w:rsid w:val="0061068E"/>
    <w:rsid w:val="00613238"/>
    <w:rsid w:val="006566F7"/>
    <w:rsid w:val="00660AD3"/>
    <w:rsid w:val="00677B7F"/>
    <w:rsid w:val="00696773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19EC"/>
    <w:rsid w:val="0077673A"/>
    <w:rsid w:val="007846E1"/>
    <w:rsid w:val="007A0C04"/>
    <w:rsid w:val="007B2656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0C24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289C"/>
    <w:rsid w:val="00BD7E91"/>
    <w:rsid w:val="00BF2DD6"/>
    <w:rsid w:val="00BF720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A5AD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1801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ind w:left="576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AB133-AF4C-4BD0-AD03-23E7A1D7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1974</Words>
  <Characters>11649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Strnadová Dagmar</cp:lastModifiedBy>
  <cp:revision>18</cp:revision>
  <cp:lastPrinted>2017-11-28T17:18:00Z</cp:lastPrinted>
  <dcterms:created xsi:type="dcterms:W3CDTF">2022-05-02T11:49:00Z</dcterms:created>
  <dcterms:modified xsi:type="dcterms:W3CDTF">2023-05-26T07:55:00Z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